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3AEB" w14:textId="4BE48B0D" w:rsidR="00F57F58" w:rsidRDefault="00F57F58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67279C" wp14:editId="2AEB61AE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1568759" cy="1080000"/>
            <wp:effectExtent l="0" t="0" r="0" b="6350"/>
            <wp:wrapNone/>
            <wp:docPr id="1233857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D0DA6" w14:textId="2D73BB48" w:rsidR="00E964C7" w:rsidRDefault="00E964C7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7F753729" w14:textId="5DBD45F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63F65C9E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</w:t>
      </w:r>
      <w:r w:rsidR="00101DCF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1</w:t>
      </w:r>
      <w:r w:rsidR="00152802" w:rsidRPr="00462B93">
        <w:rPr>
          <w:rFonts w:ascii="Arial" w:hAnsi="Arial" w:cs="Arial"/>
          <w:b/>
          <w:sz w:val="28"/>
          <w:szCs w:val="28"/>
        </w:rPr>
        <w:tab/>
      </w:r>
      <w:r w:rsidR="00A50C06">
        <w:rPr>
          <w:rFonts w:ascii="Arial" w:hAnsi="Arial" w:cs="Arial"/>
          <w:b/>
          <w:sz w:val="28"/>
          <w:szCs w:val="28"/>
        </w:rPr>
        <w:t xml:space="preserve"> </w:t>
      </w:r>
      <w:r w:rsidR="00152802" w:rsidRPr="00462B93">
        <w:rPr>
          <w:rFonts w:ascii="Arial" w:hAnsi="Arial" w:cs="Arial"/>
          <w:b/>
          <w:sz w:val="28"/>
          <w:szCs w:val="28"/>
        </w:rPr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  <w:r w:rsidR="00B66C8C">
        <w:rPr>
          <w:rFonts w:ascii="Arial" w:hAnsi="Arial" w:cs="Arial"/>
          <w:b/>
          <w:sz w:val="28"/>
          <w:szCs w:val="28"/>
        </w:rPr>
        <w:t xml:space="preserve"> </w:t>
      </w:r>
    </w:p>
    <w:p w14:paraId="16BC5847" w14:textId="3E4DD6D7" w:rsidR="00F11EE8" w:rsidRPr="006C7AE4" w:rsidRDefault="009D365F" w:rsidP="006C7AE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C7AE4">
        <w:rPr>
          <w:rFonts w:ascii="Arial" w:hAnsi="Arial" w:cs="Arial"/>
          <w:sz w:val="22"/>
          <w:szCs w:val="22"/>
        </w:rPr>
        <w:t xml:space="preserve">The </w:t>
      </w:r>
      <w:r w:rsidR="00302EED" w:rsidRPr="006C7AE4">
        <w:rPr>
          <w:rFonts w:ascii="Arial" w:hAnsi="Arial" w:cs="Arial"/>
          <w:sz w:val="22"/>
          <w:szCs w:val="22"/>
        </w:rPr>
        <w:t>s</w:t>
      </w:r>
      <w:r w:rsidR="00F11EE8" w:rsidRPr="006C7AE4">
        <w:rPr>
          <w:rFonts w:ascii="Arial" w:hAnsi="Arial" w:cs="Arial"/>
          <w:sz w:val="22"/>
          <w:szCs w:val="22"/>
        </w:rPr>
        <w:t>etting manager</w:t>
      </w:r>
      <w:r w:rsidR="006C7AE4">
        <w:rPr>
          <w:rFonts w:ascii="Arial" w:hAnsi="Arial" w:cs="Arial"/>
          <w:sz w:val="22"/>
          <w:szCs w:val="22"/>
        </w:rPr>
        <w:t xml:space="preserve"> at North Bushey Preschool</w:t>
      </w:r>
      <w:r w:rsidR="00F11EE8" w:rsidRPr="006C7AE4">
        <w:rPr>
          <w:rFonts w:ascii="Arial" w:hAnsi="Arial" w:cs="Arial"/>
          <w:sz w:val="22"/>
          <w:szCs w:val="22"/>
        </w:rPr>
        <w:t xml:space="preserve"> </w:t>
      </w:r>
      <w:r w:rsidR="00302EED" w:rsidRPr="006C7AE4">
        <w:rPr>
          <w:rFonts w:ascii="Arial" w:hAnsi="Arial" w:cs="Arial"/>
          <w:sz w:val="22"/>
          <w:szCs w:val="22"/>
        </w:rPr>
        <w:t>has</w:t>
      </w:r>
      <w:r w:rsidR="00F11EE8" w:rsidRPr="006C7AE4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6C7AE4">
        <w:rPr>
          <w:rFonts w:ascii="Arial" w:hAnsi="Arial" w:cs="Arial"/>
          <w:sz w:val="22"/>
          <w:szCs w:val="22"/>
        </w:rPr>
        <w:t>,</w:t>
      </w:r>
      <w:r w:rsidR="00F11EE8" w:rsidRPr="006C7AE4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6C7AE4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006C7AE4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006C7AE4">
        <w:rPr>
          <w:rFonts w:ascii="Arial" w:hAnsi="Arial" w:cs="Arial"/>
          <w:sz w:val="22"/>
          <w:szCs w:val="22"/>
        </w:rPr>
        <w:t xml:space="preserve">setting </w:t>
      </w:r>
      <w:r w:rsidR="00F11EE8" w:rsidRPr="006C7AE4">
        <w:rPr>
          <w:rFonts w:ascii="Arial" w:hAnsi="Arial" w:cs="Arial"/>
          <w:sz w:val="22"/>
          <w:szCs w:val="22"/>
        </w:rPr>
        <w:t>manager make</w:t>
      </w:r>
      <w:r w:rsidR="00302EED" w:rsidRPr="006C7AE4">
        <w:rPr>
          <w:rFonts w:ascii="Arial" w:hAnsi="Arial" w:cs="Arial"/>
          <w:sz w:val="22"/>
          <w:szCs w:val="22"/>
        </w:rPr>
        <w:t>s</w:t>
      </w:r>
      <w:r w:rsidR="00F11EE8" w:rsidRPr="006C7AE4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4B37C514" w:rsidR="00152802" w:rsidRPr="00462B93" w:rsidRDefault="003B504D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</w:t>
      </w:r>
      <w:r w:rsidR="006C7AE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1a Fire safety risk assessment form </w:t>
      </w:r>
      <w:r w:rsidR="00152802" w:rsidRPr="00462B93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006A5FCA" w:rsidRPr="00462B93">
        <w:rPr>
          <w:rFonts w:ascii="Arial" w:hAnsi="Arial" w:cs="Arial"/>
          <w:sz w:val="22"/>
          <w:szCs w:val="22"/>
        </w:rPr>
        <w:t xml:space="preserve"> </w:t>
      </w:r>
      <w:r w:rsidR="00152802" w:rsidRPr="00462B93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1D511D50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77777777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very young babies,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4135577E" w:rsidR="00152802" w:rsidRPr="00FF2B3F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4FC4864B" w14:textId="77777777" w:rsidR="00152802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3B7AEBE0" w14:textId="3E0165C2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56A9A88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Gas boilers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7EBDF541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00462B93">
        <w:rPr>
          <w:rFonts w:ascii="Arial" w:hAnsi="Arial" w:cs="Arial"/>
          <w:sz w:val="22"/>
          <w:szCs w:val="22"/>
        </w:rPr>
        <w:t>and serviced annually by a Gas Safe</w:t>
      </w:r>
      <w:r w:rsidRPr="00462B93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Oxygen tanks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lastRenderedPageBreak/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00462B93">
        <w:rPr>
          <w:rFonts w:ascii="Arial" w:hAnsi="Arial" w:cs="Arial"/>
          <w:sz w:val="22"/>
          <w:szCs w:val="22"/>
        </w:rPr>
        <w:t>, and where necessary supplemented with visual warnings</w:t>
      </w:r>
      <w:r w:rsidRPr="00462B93">
        <w:rPr>
          <w:rFonts w:ascii="Arial" w:hAnsi="Arial" w:cs="Arial"/>
          <w:sz w:val="22"/>
          <w:szCs w:val="22"/>
        </w:rPr>
        <w:t>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469ED0ED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8D180C9" w14:textId="77777777" w:rsidR="000A6364" w:rsidRPr="000A6364" w:rsidRDefault="000A6364" w:rsidP="000A63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d28ed1d4-7564-ea11-a811-000d3a0bad7c/curr/GBP" w:history="1">
        <w:r w:rsidRPr="000A6364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000A6364">
        <w:rPr>
          <w:rFonts w:ascii="Arial" w:hAnsi="Arial" w:cs="Arial"/>
          <w:sz w:val="22"/>
          <w:szCs w:val="22"/>
        </w:rPr>
        <w:t xml:space="preserve"> (Alliance </w:t>
      </w:r>
      <w:bookmarkStart w:id="0" w:name="_Hlk149142222"/>
      <w:r w:rsidRPr="000A6364">
        <w:rPr>
          <w:rFonts w:ascii="Arial" w:hAnsi="Arial" w:cs="Arial"/>
          <w:sz w:val="22"/>
          <w:szCs w:val="22"/>
        </w:rPr>
        <w:t>Publication</w:t>
      </w:r>
      <w:bookmarkEnd w:id="0"/>
      <w:r w:rsidRPr="000A6364">
        <w:rPr>
          <w:rFonts w:ascii="Arial" w:hAnsi="Arial" w:cs="Arial"/>
          <w:sz w:val="22"/>
          <w:szCs w:val="22"/>
        </w:rPr>
        <w:t>)</w:t>
      </w:r>
    </w:p>
    <w:p w14:paraId="38466F32" w14:textId="77777777" w:rsidR="000A6364" w:rsidRPr="000A6364" w:rsidRDefault="000A6364" w:rsidP="000A63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3e3f4ad6-7564-ea11-a811-000d3a0ba8fe/curr/GBP" w:history="1">
        <w:r w:rsidRPr="000A6364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 w:rsidRPr="000A6364">
        <w:rPr>
          <w:rFonts w:ascii="Arial" w:hAnsi="Arial" w:cs="Arial"/>
          <w:sz w:val="22"/>
          <w:szCs w:val="22"/>
        </w:rPr>
        <w:t xml:space="preserve"> (Alliance Publication)</w:t>
      </w:r>
    </w:p>
    <w:p w14:paraId="5D56CE9E" w14:textId="1A5D75EF" w:rsidR="00E964C7" w:rsidRPr="00462B93" w:rsidRDefault="000A6364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A6364">
        <w:rPr>
          <w:rFonts w:ascii="Arial" w:hAnsi="Arial" w:cs="Arial"/>
          <w:sz w:val="22"/>
          <w:szCs w:val="22"/>
        </w:rPr>
        <w:t xml:space="preserve">Fire Safety Risk Assessment: Educational Premises (HMG 2006): </w:t>
      </w:r>
      <w:hyperlink r:id="rId13" w:history="1">
        <w:r w:rsidRPr="000A6364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sectPr w:rsidR="00E964C7" w:rsidRPr="00462B93" w:rsidSect="00FF2B3F"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78A0" w14:textId="77777777" w:rsidR="0044787F" w:rsidRDefault="0044787F" w:rsidP="00050D51">
      <w:r>
        <w:separator/>
      </w:r>
    </w:p>
  </w:endnote>
  <w:endnote w:type="continuationSeparator" w:id="0">
    <w:p w14:paraId="65260F9E" w14:textId="77777777" w:rsidR="0044787F" w:rsidRDefault="0044787F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E73E" w14:textId="6AFD47BF" w:rsidR="004E1D49" w:rsidRPr="0065439D" w:rsidRDefault="004E1D49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0F38B6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6C7AE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0BE3C05B" w14:textId="77777777" w:rsidR="004E1D49" w:rsidRDefault="004E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8CCB" w14:textId="77777777" w:rsidR="0044787F" w:rsidRDefault="0044787F" w:rsidP="00050D51">
      <w:r>
        <w:separator/>
      </w:r>
    </w:p>
  </w:footnote>
  <w:footnote w:type="continuationSeparator" w:id="0">
    <w:p w14:paraId="458240C7" w14:textId="77777777" w:rsidR="0044787F" w:rsidRDefault="0044787F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19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477851">
    <w:abstractNumId w:val="17"/>
  </w:num>
  <w:num w:numId="3" w16cid:durableId="226377860">
    <w:abstractNumId w:val="15"/>
  </w:num>
  <w:num w:numId="4" w16cid:durableId="1006445696">
    <w:abstractNumId w:val="11"/>
  </w:num>
  <w:num w:numId="5" w16cid:durableId="4446941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133281">
    <w:abstractNumId w:val="6"/>
  </w:num>
  <w:num w:numId="7" w16cid:durableId="1100027679">
    <w:abstractNumId w:val="1"/>
  </w:num>
  <w:num w:numId="8" w16cid:durableId="708649390">
    <w:abstractNumId w:val="13"/>
  </w:num>
  <w:num w:numId="9" w16cid:durableId="1355762957">
    <w:abstractNumId w:val="4"/>
  </w:num>
  <w:num w:numId="10" w16cid:durableId="943345221">
    <w:abstractNumId w:val="8"/>
  </w:num>
  <w:num w:numId="11" w16cid:durableId="1484854400">
    <w:abstractNumId w:val="19"/>
  </w:num>
  <w:num w:numId="12" w16cid:durableId="1029139866">
    <w:abstractNumId w:val="7"/>
  </w:num>
  <w:num w:numId="13" w16cid:durableId="986515949">
    <w:abstractNumId w:val="20"/>
  </w:num>
  <w:num w:numId="14" w16cid:durableId="669411735">
    <w:abstractNumId w:val="22"/>
  </w:num>
  <w:num w:numId="15" w16cid:durableId="848254209">
    <w:abstractNumId w:val="18"/>
  </w:num>
  <w:num w:numId="16" w16cid:durableId="522548209">
    <w:abstractNumId w:val="16"/>
  </w:num>
  <w:num w:numId="17" w16cid:durableId="255792659">
    <w:abstractNumId w:val="12"/>
  </w:num>
  <w:num w:numId="18" w16cid:durableId="55082650">
    <w:abstractNumId w:val="9"/>
  </w:num>
  <w:num w:numId="19" w16cid:durableId="380980269">
    <w:abstractNumId w:val="2"/>
  </w:num>
  <w:num w:numId="20" w16cid:durableId="366023908">
    <w:abstractNumId w:val="14"/>
  </w:num>
  <w:num w:numId="21" w16cid:durableId="919674441">
    <w:abstractNumId w:val="5"/>
  </w:num>
  <w:num w:numId="22" w16cid:durableId="1797018303">
    <w:abstractNumId w:val="3"/>
  </w:num>
  <w:num w:numId="23" w16cid:durableId="1803570996">
    <w:abstractNumId w:val="10"/>
  </w:num>
  <w:num w:numId="24" w16cid:durableId="1577663098">
    <w:abstractNumId w:val="0"/>
  </w:num>
  <w:num w:numId="25" w16cid:durableId="1838957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3E2F"/>
    <w:rsid w:val="00037DD0"/>
    <w:rsid w:val="00050D51"/>
    <w:rsid w:val="00071B3E"/>
    <w:rsid w:val="00076EC6"/>
    <w:rsid w:val="000A6364"/>
    <w:rsid w:val="000B2B54"/>
    <w:rsid w:val="000B314D"/>
    <w:rsid w:val="000D529B"/>
    <w:rsid w:val="000D749B"/>
    <w:rsid w:val="000E1805"/>
    <w:rsid w:val="000F38B6"/>
    <w:rsid w:val="000F47A2"/>
    <w:rsid w:val="00101DCF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33247"/>
    <w:rsid w:val="00260817"/>
    <w:rsid w:val="00292801"/>
    <w:rsid w:val="002D10D3"/>
    <w:rsid w:val="002E3928"/>
    <w:rsid w:val="002E7417"/>
    <w:rsid w:val="00302EED"/>
    <w:rsid w:val="00320576"/>
    <w:rsid w:val="00322FAF"/>
    <w:rsid w:val="003363BD"/>
    <w:rsid w:val="0036470D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4787F"/>
    <w:rsid w:val="00462B93"/>
    <w:rsid w:val="00477CB6"/>
    <w:rsid w:val="00497C0F"/>
    <w:rsid w:val="004E07B0"/>
    <w:rsid w:val="004E1D49"/>
    <w:rsid w:val="004F0DA6"/>
    <w:rsid w:val="00500929"/>
    <w:rsid w:val="00512241"/>
    <w:rsid w:val="005437AD"/>
    <w:rsid w:val="00573765"/>
    <w:rsid w:val="005958F3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2614"/>
    <w:rsid w:val="006C12D0"/>
    <w:rsid w:val="006C12EF"/>
    <w:rsid w:val="006C7AE4"/>
    <w:rsid w:val="007113BB"/>
    <w:rsid w:val="00716D43"/>
    <w:rsid w:val="00753359"/>
    <w:rsid w:val="007A0622"/>
    <w:rsid w:val="007A1705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E2D83"/>
    <w:rsid w:val="008F0B57"/>
    <w:rsid w:val="00913345"/>
    <w:rsid w:val="009406E7"/>
    <w:rsid w:val="00947408"/>
    <w:rsid w:val="00960647"/>
    <w:rsid w:val="00962469"/>
    <w:rsid w:val="0098148C"/>
    <w:rsid w:val="009B3435"/>
    <w:rsid w:val="009D365F"/>
    <w:rsid w:val="009D3AED"/>
    <w:rsid w:val="009E12B4"/>
    <w:rsid w:val="009E13D1"/>
    <w:rsid w:val="009F6016"/>
    <w:rsid w:val="00A27FCD"/>
    <w:rsid w:val="00A46117"/>
    <w:rsid w:val="00A4717A"/>
    <w:rsid w:val="00A50C06"/>
    <w:rsid w:val="00A72FD3"/>
    <w:rsid w:val="00A734F4"/>
    <w:rsid w:val="00AA13E1"/>
    <w:rsid w:val="00AF2CEE"/>
    <w:rsid w:val="00B21FBC"/>
    <w:rsid w:val="00B66C8C"/>
    <w:rsid w:val="00B72792"/>
    <w:rsid w:val="00B75948"/>
    <w:rsid w:val="00B91A21"/>
    <w:rsid w:val="00BA58B1"/>
    <w:rsid w:val="00BA605F"/>
    <w:rsid w:val="00BA74A9"/>
    <w:rsid w:val="00BB3955"/>
    <w:rsid w:val="00BE68E1"/>
    <w:rsid w:val="00BF7988"/>
    <w:rsid w:val="00C428DC"/>
    <w:rsid w:val="00C43D61"/>
    <w:rsid w:val="00C70C62"/>
    <w:rsid w:val="00C77244"/>
    <w:rsid w:val="00C90145"/>
    <w:rsid w:val="00CA4BC4"/>
    <w:rsid w:val="00CA4E64"/>
    <w:rsid w:val="00CB63BC"/>
    <w:rsid w:val="00CC158F"/>
    <w:rsid w:val="00CD043E"/>
    <w:rsid w:val="00CE4CE9"/>
    <w:rsid w:val="00CF54C1"/>
    <w:rsid w:val="00CF5694"/>
    <w:rsid w:val="00D07AA4"/>
    <w:rsid w:val="00D44E5E"/>
    <w:rsid w:val="00D57D45"/>
    <w:rsid w:val="00D60249"/>
    <w:rsid w:val="00D62D4E"/>
    <w:rsid w:val="00D76494"/>
    <w:rsid w:val="00DA0A7D"/>
    <w:rsid w:val="00DE22CC"/>
    <w:rsid w:val="00DF5D77"/>
    <w:rsid w:val="00E23631"/>
    <w:rsid w:val="00E264FA"/>
    <w:rsid w:val="00E36DC7"/>
    <w:rsid w:val="00E37C21"/>
    <w:rsid w:val="00E52715"/>
    <w:rsid w:val="00E63F63"/>
    <w:rsid w:val="00E70F77"/>
    <w:rsid w:val="00E964C7"/>
    <w:rsid w:val="00EA2520"/>
    <w:rsid w:val="00EA3273"/>
    <w:rsid w:val="00EE2B0F"/>
    <w:rsid w:val="00EF2A73"/>
    <w:rsid w:val="00EF336D"/>
    <w:rsid w:val="00EF5B57"/>
    <w:rsid w:val="00EF642E"/>
    <w:rsid w:val="00F11EE8"/>
    <w:rsid w:val="00F1669D"/>
    <w:rsid w:val="00F57F58"/>
    <w:rsid w:val="00F63DA0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/government/publications/fire-safety-risk-assessment-educational-premi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A4B6D-73D5-43D7-A81F-5BF93ACB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North Bushey Preschool</cp:lastModifiedBy>
  <cp:revision>11</cp:revision>
  <cp:lastPrinted>2021-09-22T09:18:00Z</cp:lastPrinted>
  <dcterms:created xsi:type="dcterms:W3CDTF">2022-08-22T12:37:00Z</dcterms:created>
  <dcterms:modified xsi:type="dcterms:W3CDTF">2026-05-07T11:02:00Z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